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C5" w:rsidRPr="000F69AF" w:rsidRDefault="003F33D3" w:rsidP="000F69AF">
      <w:pPr>
        <w:jc w:val="center"/>
        <w:rPr>
          <w:b/>
          <w:sz w:val="36"/>
        </w:rPr>
      </w:pPr>
      <w:bookmarkStart w:id="0" w:name="_GoBack"/>
      <w:bookmarkEnd w:id="0"/>
      <w:r w:rsidRPr="000F69AF">
        <w:rPr>
          <w:b/>
          <w:sz w:val="36"/>
        </w:rPr>
        <w:t>Barn &amp; Small Meeting Room Hire</w:t>
      </w:r>
    </w:p>
    <w:p w:rsidR="003F33D3" w:rsidRPr="000F69AF" w:rsidRDefault="003F33D3" w:rsidP="000F69AF">
      <w:pPr>
        <w:jc w:val="center"/>
        <w:rPr>
          <w:sz w:val="36"/>
        </w:rPr>
      </w:pPr>
      <w:r w:rsidRPr="000F69AF">
        <w:rPr>
          <w:sz w:val="36"/>
        </w:rPr>
        <w:t>Guidance for pricing local and/or charitable groups</w:t>
      </w:r>
    </w:p>
    <w:p w:rsidR="003F33D3" w:rsidRDefault="003F33D3"/>
    <w:p w:rsidR="003F33D3" w:rsidRDefault="003F33D3">
      <w:r>
        <w:t>Day Delegate Rate (DDR) is used to calculate</w:t>
      </w:r>
      <w:r w:rsidR="000F69AF">
        <w:t xml:space="preserve"> prices</w:t>
      </w:r>
      <w:r>
        <w:t xml:space="preserve"> and is primarily aimed at corporate bookings. If the barn </w:t>
      </w:r>
      <w:r w:rsidR="000F69AF">
        <w:t xml:space="preserve">or small meeting room (SMR) </w:t>
      </w:r>
      <w:r>
        <w:t>is only going to be booked for a few hours, we can calculate prices based on £2.50 per-head per-hour</w:t>
      </w:r>
      <w:r w:rsidR="000F69AF">
        <w:t>.</w:t>
      </w:r>
    </w:p>
    <w:p w:rsidR="000F69AF" w:rsidRDefault="000F69AF">
      <w:r>
        <w:t>Absolute lowest price is calculated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260"/>
        <w:gridCol w:w="3464"/>
      </w:tblGrid>
      <w:tr w:rsidR="000F69AF" w:rsidTr="000F69AF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69AF" w:rsidRDefault="000F69AF" w:rsidP="000F69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69AF" w:rsidRPr="000F69AF" w:rsidRDefault="000F69AF" w:rsidP="000F69AF">
            <w:pPr>
              <w:jc w:val="center"/>
              <w:rPr>
                <w:b/>
              </w:rPr>
            </w:pPr>
            <w:r w:rsidRPr="000F69AF">
              <w:rPr>
                <w:b/>
              </w:rPr>
              <w:t>DDR per hour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69AF" w:rsidRPr="000F69AF" w:rsidRDefault="000F69AF" w:rsidP="000F69AF">
            <w:pPr>
              <w:jc w:val="center"/>
              <w:rPr>
                <w:b/>
              </w:rPr>
            </w:pPr>
            <w:r w:rsidRPr="000F69AF">
              <w:rPr>
                <w:b/>
              </w:rPr>
              <w:t>Minimum Delegates</w:t>
            </w:r>
          </w:p>
          <w:p w:rsidR="000F69AF" w:rsidRPr="000F69AF" w:rsidRDefault="000F69AF" w:rsidP="000F69AF">
            <w:pPr>
              <w:jc w:val="center"/>
              <w:rPr>
                <w:i/>
              </w:rPr>
            </w:pPr>
            <w:r w:rsidRPr="000F69AF">
              <w:rPr>
                <w:i/>
              </w:rPr>
              <w:t>(</w:t>
            </w:r>
            <w:r>
              <w:rPr>
                <w:i/>
              </w:rPr>
              <w:t>used to calculate price</w:t>
            </w:r>
            <w:r w:rsidRPr="000F69AF">
              <w:rPr>
                <w:i/>
              </w:rPr>
              <w:t xml:space="preserve"> even if there are less people)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0F69AF" w:rsidRDefault="000F69AF" w:rsidP="000F69AF">
            <w:pPr>
              <w:jc w:val="center"/>
            </w:pPr>
            <w:r w:rsidRPr="000F69AF">
              <w:rPr>
                <w:b/>
              </w:rPr>
              <w:t>Absolute minimum price per hour</w:t>
            </w:r>
            <w:r>
              <w:t xml:space="preserve"> (Excluding VAT)</w:t>
            </w:r>
          </w:p>
        </w:tc>
      </w:tr>
      <w:tr w:rsidR="000F69AF" w:rsidTr="000F69AF">
        <w:tc>
          <w:tcPr>
            <w:tcW w:w="959" w:type="dxa"/>
            <w:tcBorders>
              <w:top w:val="single" w:sz="4" w:space="0" w:color="auto"/>
            </w:tcBorders>
          </w:tcPr>
          <w:p w:rsidR="000F69AF" w:rsidRPr="000F69AF" w:rsidRDefault="000F69AF">
            <w:pPr>
              <w:rPr>
                <w:b/>
              </w:rPr>
            </w:pPr>
            <w:r w:rsidRPr="000F69AF">
              <w:rPr>
                <w:b/>
              </w:rPr>
              <w:t>Barn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69AF" w:rsidRDefault="000F69AF" w:rsidP="000F69AF">
            <w:pPr>
              <w:jc w:val="center"/>
            </w:pPr>
            <w:r>
              <w:t>£2.5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9AF" w:rsidRDefault="000F69AF" w:rsidP="000F69AF">
            <w:pPr>
              <w:jc w:val="center"/>
            </w:pPr>
            <w:r>
              <w:t>10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0F69AF" w:rsidRDefault="000F69AF" w:rsidP="000F69AF">
            <w:pPr>
              <w:jc w:val="center"/>
            </w:pPr>
            <w:r>
              <w:t>£25</w:t>
            </w:r>
          </w:p>
        </w:tc>
      </w:tr>
      <w:tr w:rsidR="000F69AF" w:rsidTr="000F69AF">
        <w:tc>
          <w:tcPr>
            <w:tcW w:w="959" w:type="dxa"/>
            <w:tcBorders>
              <w:bottom w:val="single" w:sz="4" w:space="0" w:color="auto"/>
            </w:tcBorders>
          </w:tcPr>
          <w:p w:rsidR="000F69AF" w:rsidRPr="000F69AF" w:rsidRDefault="000F69AF">
            <w:pPr>
              <w:rPr>
                <w:b/>
              </w:rPr>
            </w:pPr>
            <w:r w:rsidRPr="000F69AF">
              <w:rPr>
                <w:b/>
              </w:rPr>
              <w:t>SMR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69AF" w:rsidRDefault="000F69AF" w:rsidP="000F69AF">
            <w:pPr>
              <w:jc w:val="center"/>
            </w:pPr>
            <w:r>
              <w:t>£2.5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69AF" w:rsidRDefault="000F69AF" w:rsidP="000F69AF">
            <w:pPr>
              <w:jc w:val="center"/>
            </w:pPr>
            <w:r>
              <w:t>4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0F69AF" w:rsidRDefault="000F69AF" w:rsidP="000F69AF">
            <w:pPr>
              <w:jc w:val="center"/>
            </w:pPr>
            <w:r>
              <w:t>£10</w:t>
            </w:r>
          </w:p>
        </w:tc>
      </w:tr>
    </w:tbl>
    <w:p w:rsidR="000F69AF" w:rsidRDefault="000F69AF"/>
    <w:p w:rsidR="00312569" w:rsidRDefault="00312569">
      <w:r>
        <w:t xml:space="preserve">Optional extras (Such as tea, coffee, biscuits, and buffet) will be charged at the usual price. However, we can waiver additional chargers for equipment (Such as projector and flipchart etc.). </w:t>
      </w:r>
    </w:p>
    <w:sectPr w:rsidR="00312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D3"/>
    <w:rsid w:val="000F69AF"/>
    <w:rsid w:val="00135392"/>
    <w:rsid w:val="00312569"/>
    <w:rsid w:val="003F33D3"/>
    <w:rsid w:val="00D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Halcrow</dc:creator>
  <cp:lastModifiedBy>Louise Barrack</cp:lastModifiedBy>
  <cp:revision>2</cp:revision>
  <dcterms:created xsi:type="dcterms:W3CDTF">2019-06-19T13:32:00Z</dcterms:created>
  <dcterms:modified xsi:type="dcterms:W3CDTF">2019-06-19T13:32:00Z</dcterms:modified>
</cp:coreProperties>
</file>